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70C29" w:rsidRPr="00D13EF3" w:rsidTr="00280780">
        <w:trPr>
          <w:trHeight w:hRule="exact" w:val="1361"/>
        </w:trPr>
        <w:tc>
          <w:tcPr>
            <w:tcW w:w="2421" w:type="dxa"/>
            <w:vMerge w:val="restart"/>
            <w:shd w:val="clear" w:color="auto" w:fill="auto"/>
          </w:tcPr>
          <w:p w:rsidR="00470C29" w:rsidRPr="00D13EF3" w:rsidRDefault="00470C29" w:rsidP="00280780">
            <w:r w:rsidRPr="00D13EF3">
              <w:t>Logo oder Name</w:t>
            </w:r>
          </w:p>
        </w:tc>
        <w:tc>
          <w:tcPr>
            <w:tcW w:w="8352" w:type="dxa"/>
            <w:tcBorders>
              <w:bottom w:val="nil"/>
            </w:tcBorders>
            <w:shd w:val="clear" w:color="auto" w:fill="auto"/>
          </w:tcPr>
          <w:p w:rsidR="00470C29" w:rsidRPr="00D13EF3" w:rsidRDefault="00470C29" w:rsidP="00280780">
            <w:pPr>
              <w:pStyle w:val="berschrift1"/>
              <w:outlineLvl w:val="0"/>
            </w:pPr>
            <w:bookmarkStart w:id="0" w:name="_Toc23143485"/>
            <w:r w:rsidRPr="00470C29">
              <w:t>CNC-Maschine zum Bohren, Drehen, Fräsen</w:t>
            </w:r>
            <w:bookmarkEnd w:id="0"/>
          </w:p>
        </w:tc>
      </w:tr>
      <w:tr w:rsidR="00470C29" w:rsidRPr="00D13EF3" w:rsidTr="00280780">
        <w:trPr>
          <w:trHeight w:hRule="exact" w:val="567"/>
        </w:trPr>
        <w:tc>
          <w:tcPr>
            <w:tcW w:w="2421" w:type="dxa"/>
            <w:vMerge/>
            <w:shd w:val="clear" w:color="auto" w:fill="auto"/>
          </w:tcPr>
          <w:p w:rsidR="00470C29" w:rsidRPr="00D13EF3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52" w:type="dxa"/>
            <w:tcBorders>
              <w:top w:val="nil"/>
            </w:tcBorders>
            <w:shd w:val="clear" w:color="auto" w:fill="auto"/>
            <w:vAlign w:val="center"/>
          </w:tcPr>
          <w:p w:rsidR="00470C29" w:rsidRPr="00D13EF3" w:rsidRDefault="00470C29" w:rsidP="00280780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470C29" w:rsidRPr="00D13EF3" w:rsidTr="00280780">
        <w:trPr>
          <w:trHeight w:hRule="exact" w:val="3402"/>
        </w:trPr>
        <w:tc>
          <w:tcPr>
            <w:tcW w:w="2421" w:type="dxa"/>
            <w:shd w:val="clear" w:color="auto" w:fill="auto"/>
          </w:tcPr>
          <w:p w:rsidR="00470C29" w:rsidRPr="00D13EF3" w:rsidRDefault="00470C29" w:rsidP="00280780"/>
        </w:tc>
        <w:tc>
          <w:tcPr>
            <w:tcW w:w="8352" w:type="dxa"/>
            <w:shd w:val="clear" w:color="auto" w:fill="auto"/>
            <w:tcMar>
              <w:left w:w="125" w:type="dxa"/>
            </w:tcMar>
            <w:vAlign w:val="center"/>
          </w:tcPr>
          <w:p w:rsidR="00470C29" w:rsidRPr="00D13EF3" w:rsidRDefault="00470C29" w:rsidP="00280780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7A3DA3BE" wp14:editId="29BFAE6E">
                  <wp:extent cx="5153025" cy="2085975"/>
                  <wp:effectExtent l="0" t="0" r="9525" b="9525"/>
                  <wp:docPr id="392" name="Grafik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tentbild_cnc_bearbeitungscenter_Web format sRGB_2350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5802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D13EF3" w:rsidTr="00280780">
        <w:trPr>
          <w:trHeight w:hRule="exact" w:val="3689"/>
        </w:trPr>
        <w:tc>
          <w:tcPr>
            <w:tcW w:w="2421" w:type="dxa"/>
            <w:shd w:val="clear" w:color="auto" w:fill="auto"/>
          </w:tcPr>
          <w:p w:rsidR="00470C29" w:rsidRPr="00D13EF3" w:rsidRDefault="00470C29" w:rsidP="00280780">
            <w:r w:rsidRPr="00D13EF3">
              <w:t>Hauptgefahren</w:t>
            </w:r>
          </w:p>
          <w:p w:rsidR="00470C29" w:rsidRDefault="00470C29" w:rsidP="002807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56B79750" wp14:editId="5C34B92B">
                  <wp:extent cx="540000" cy="471600"/>
                  <wp:effectExtent l="0" t="0" r="0" b="5080"/>
                  <wp:docPr id="393" name="Grafik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280780">
            <w:pPr>
              <w:jc w:val="center"/>
              <w:rPr>
                <w:rFonts w:ascii="Arial" w:hAnsi="Arial" w:cs="Arial"/>
                <w:b w:val="0"/>
              </w:rPr>
            </w:pPr>
          </w:p>
          <w:p w:rsidR="00470C29" w:rsidRPr="00D13EF3" w:rsidRDefault="00470C29" w:rsidP="002807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352" w:type="dxa"/>
            <w:shd w:val="clear" w:color="auto" w:fill="auto"/>
          </w:tcPr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Getroffen werden durch wegfliegende Späne, Kühlschmiermittel, herausgeschleuderte oder herabfallende Werkstücke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 xml:space="preserve">Erfasst werden </w:t>
            </w:r>
            <w:proofErr w:type="gramStart"/>
            <w:r w:rsidRPr="00570442">
              <w:rPr>
                <w:lang w:eastAsia="de-DE"/>
              </w:rPr>
              <w:t>durch drehende</w:t>
            </w:r>
            <w:proofErr w:type="gramEnd"/>
            <w:r w:rsidRPr="00570442">
              <w:rPr>
                <w:lang w:eastAsia="de-DE"/>
              </w:rPr>
              <w:t xml:space="preserve"> Spindel oder Werkstücke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Quetschen der Finger in der Spannvorrichtung oder durch Achsbewegungen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Hauterkrankungen durch kühlmittelbenetzte Werkstücke</w:t>
            </w:r>
          </w:p>
          <w:p w:rsidR="00470C29" w:rsidRPr="00D13EF3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Unerlaubtes Manipulieren der Schutzeinrichtung</w:t>
            </w:r>
          </w:p>
        </w:tc>
      </w:tr>
      <w:tr w:rsidR="00470C29" w:rsidRPr="00D13EF3" w:rsidTr="00280780">
        <w:trPr>
          <w:trHeight w:val="4271"/>
        </w:trPr>
        <w:tc>
          <w:tcPr>
            <w:tcW w:w="2421" w:type="dxa"/>
            <w:shd w:val="clear" w:color="auto" w:fill="auto"/>
            <w:tcMar>
              <w:top w:w="0" w:type="dxa"/>
            </w:tcMar>
          </w:tcPr>
          <w:p w:rsidR="00470C29" w:rsidRPr="00D13EF3" w:rsidRDefault="00470C29" w:rsidP="00280780">
            <w:r w:rsidRPr="00D13EF3">
              <w:t>Sicherheitsregeln</w:t>
            </w:r>
          </w:p>
          <w:p w:rsidR="00470C29" w:rsidRDefault="003E1F41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1BEA5CA8" wp14:editId="08F161B7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5AB3F8F4" wp14:editId="45628EB1">
                  <wp:extent cx="540000" cy="540000"/>
                  <wp:effectExtent l="0" t="0" r="0" b="0"/>
                  <wp:docPr id="269" name="Grafik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780" w:rsidRDefault="00280780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97C8CA9" wp14:editId="3A2D2BED">
                  <wp:extent cx="540000" cy="540000"/>
                  <wp:effectExtent l="0" t="0" r="0" b="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Pr="00D13EF3" w:rsidRDefault="00280780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684B2B95" wp14:editId="26D3E0AD">
                  <wp:extent cx="540000" cy="540000"/>
                  <wp:effectExtent l="0" t="0" r="0" b="0"/>
                  <wp:docPr id="397" name="Grafik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shd w:val="clear" w:color="auto" w:fill="auto"/>
            <w:tcMar>
              <w:top w:w="113" w:type="dxa"/>
            </w:tcMar>
          </w:tcPr>
          <w:p w:rsidR="00470C29" w:rsidRPr="001F5F00" w:rsidRDefault="00470C29" w:rsidP="00470C29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280780" w:rsidRPr="00570442">
              <w:rPr>
                <w:rFonts w:cs="Times New Roman"/>
                <w:color w:val="1E1E1E"/>
                <w:lang w:eastAsia="de-DE"/>
              </w:rPr>
              <w:t xml:space="preserve">Bearbeitungscenter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470C29" w:rsidRPr="001F5F00" w:rsidRDefault="00470C29" w:rsidP="00470C29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(Ausnahme: Berufliche Grundbildung)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Schutzeinrichtungen niemals manipulieren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Schutzbrille tragen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Schutzschuhe tragen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Handschuhverbot im Einrichtbetrieb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Keine Fingerringe, Uhren und Armbänder tragen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proofErr w:type="gramStart"/>
            <w:r w:rsidRPr="00570442">
              <w:rPr>
                <w:lang w:eastAsia="de-DE"/>
              </w:rPr>
              <w:t>Eng anliegende</w:t>
            </w:r>
            <w:proofErr w:type="gramEnd"/>
            <w:r w:rsidRPr="00570442">
              <w:rPr>
                <w:lang w:eastAsia="de-DE"/>
              </w:rPr>
              <w:t xml:space="preserve"> Kleider tragen, besonders enge Ärmel</w:t>
            </w:r>
          </w:p>
          <w:p w:rsidR="00470C29" w:rsidRPr="00570442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Hautschutzmittel verwenden</w:t>
            </w:r>
          </w:p>
          <w:p w:rsidR="00470C29" w:rsidRPr="00D13EF3" w:rsidRDefault="00470C29" w:rsidP="00470C29">
            <w:pPr>
              <w:pStyle w:val="AufzhlungSchwarzneu"/>
              <w:rPr>
                <w:lang w:eastAsia="de-DE"/>
              </w:rPr>
            </w:pPr>
            <w:r w:rsidRPr="00570442">
              <w:rPr>
                <w:lang w:eastAsia="de-DE"/>
              </w:rPr>
              <w:t>Nie bei laufender Maschine messen, reinigen oder Störungen beheben</w:t>
            </w:r>
          </w:p>
        </w:tc>
      </w:tr>
      <w:tr w:rsidR="00470C29" w:rsidRPr="00D13EF3" w:rsidTr="00280780">
        <w:trPr>
          <w:trHeight w:hRule="exact" w:val="1237"/>
        </w:trPr>
        <w:tc>
          <w:tcPr>
            <w:tcW w:w="2421" w:type="dxa"/>
            <w:shd w:val="clear" w:color="auto" w:fill="auto"/>
          </w:tcPr>
          <w:p w:rsidR="00470C29" w:rsidRPr="00D13EF3" w:rsidRDefault="00470C29" w:rsidP="00280780">
            <w:r w:rsidRPr="00D13EF3">
              <w:t>Informationen</w:t>
            </w:r>
          </w:p>
        </w:tc>
        <w:tc>
          <w:tcPr>
            <w:tcW w:w="8352" w:type="dxa"/>
            <w:shd w:val="clear" w:color="auto" w:fill="auto"/>
          </w:tcPr>
          <w:p w:rsidR="00470C29" w:rsidRDefault="00470C29" w:rsidP="00280780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470C29" w:rsidRDefault="00470C29" w:rsidP="00280780">
            <w:pPr>
              <w:pStyle w:val="AufzhlungSchwarzneu"/>
            </w:pPr>
            <w:r w:rsidRPr="00D13EF3">
              <w:t>Checkliste: «</w:t>
            </w:r>
            <w:r w:rsidRPr="00ED6D52">
              <w:rPr>
                <w:rFonts w:cs="Times New Roman"/>
                <w:color w:val="1E1E1E"/>
                <w:lang w:eastAsia="de-DE"/>
              </w:rPr>
              <w:t>CNC-Maschine zum Bohren, Drehen, Fräsen</w:t>
            </w:r>
            <w:r w:rsidRPr="00D13EF3">
              <w:t xml:space="preserve">», </w:t>
            </w:r>
            <w:hyperlink r:id="rId14" w:history="1">
              <w:r w:rsidRPr="00E95BF9">
                <w:rPr>
                  <w:rStyle w:val="Hyperlink"/>
                </w:rPr>
                <w:t>www.suva.ch/67139.d</w:t>
              </w:r>
            </w:hyperlink>
          </w:p>
          <w:p w:rsidR="00470C29" w:rsidRPr="00D13EF3" w:rsidRDefault="00470C29" w:rsidP="00280780">
            <w:pPr>
              <w:pStyle w:val="AufzhlungSchwarzneu"/>
            </w:pPr>
            <w:r>
              <w:t xml:space="preserve">Factsheet: </w:t>
            </w:r>
            <w:r w:rsidRPr="00D13EF3">
              <w:t>«</w:t>
            </w:r>
            <w:r w:rsidRPr="00ED6D52">
              <w:rPr>
                <w:rFonts w:cs="Times New Roman"/>
                <w:color w:val="1E1E1E"/>
                <w:lang w:eastAsia="de-DE"/>
              </w:rPr>
              <w:t>Stangenlademagazine zu CNC-Drehmaschinen</w:t>
            </w:r>
            <w:r w:rsidRPr="00D13EF3">
              <w:t xml:space="preserve">», </w:t>
            </w:r>
            <w:hyperlink r:id="rId15" w:history="1">
              <w:r w:rsidRPr="00E95BF9">
                <w:rPr>
                  <w:rStyle w:val="Hyperlink"/>
                </w:rPr>
                <w:t>www.suva.ch/33051.d</w:t>
              </w:r>
            </w:hyperlink>
          </w:p>
        </w:tc>
      </w:tr>
      <w:tr w:rsidR="00470C29" w:rsidRPr="00D13EF3" w:rsidTr="00280780">
        <w:trPr>
          <w:trHeight w:hRule="exact" w:val="567"/>
        </w:trPr>
        <w:tc>
          <w:tcPr>
            <w:tcW w:w="2421" w:type="dxa"/>
            <w:shd w:val="clear" w:color="auto" w:fill="auto"/>
          </w:tcPr>
          <w:p w:rsidR="00470C29" w:rsidRPr="00D13EF3" w:rsidRDefault="00470C29" w:rsidP="00280780">
            <w:r w:rsidRPr="00D13EF3">
              <w:t>Erstellungsdatum</w:t>
            </w:r>
          </w:p>
        </w:tc>
        <w:tc>
          <w:tcPr>
            <w:tcW w:w="8352" w:type="dxa"/>
            <w:shd w:val="clear" w:color="auto" w:fill="auto"/>
          </w:tcPr>
          <w:p w:rsidR="00470C29" w:rsidRPr="00D13EF3" w:rsidRDefault="00470C29" w:rsidP="00280780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470C29" w:rsidRDefault="00470C29">
      <w:pPr>
        <w:spacing w:before="0"/>
      </w:pPr>
      <w:bookmarkStart w:id="1" w:name="_GoBack"/>
      <w:bookmarkEnd w:id="1"/>
    </w:p>
    <w:sectPr w:rsidR="00470C29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5F0260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ABC02D6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33051.d" TargetMode="Externa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39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1AD0-4323-46D2-8105-CD8C7984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6</cp:revision>
  <cp:lastPrinted>2019-08-26T06:07:00Z</cp:lastPrinted>
  <dcterms:created xsi:type="dcterms:W3CDTF">2019-10-28T07:23:00Z</dcterms:created>
  <dcterms:modified xsi:type="dcterms:W3CDTF">2020-01-27T14:29:00Z</dcterms:modified>
</cp:coreProperties>
</file>